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6" w:rsidRDefault="00803036" w:rsidP="00803036">
      <w:pPr>
        <w:jc w:val="center"/>
        <w:rPr>
          <w:rFonts w:ascii="Barlow Light" w:hAnsi="Barlow Light"/>
          <w:b/>
        </w:rPr>
      </w:pPr>
      <w:r w:rsidRPr="00803036">
        <w:rPr>
          <w:rFonts w:ascii="Barlow Light" w:hAnsi="Barlow Light"/>
          <w:b/>
        </w:rPr>
        <w:t>REGLAMENTO INTERNO DEL CONSEJO MUNICIPAL DE PROTECCIÓN CIVIL</w:t>
      </w:r>
    </w:p>
    <w:p w:rsidR="00BF6259" w:rsidRDefault="00803036" w:rsidP="00BF6259">
      <w:pPr>
        <w:spacing w:after="0"/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R</w:t>
      </w:r>
      <w:r w:rsidR="00BF6259">
        <w:rPr>
          <w:rFonts w:ascii="Barlow Light" w:hAnsi="Barlow Light"/>
          <w:b/>
        </w:rPr>
        <w:t>eglamento aprobado el 11 de diciembre de 2019</w:t>
      </w:r>
    </w:p>
    <w:p w:rsidR="00803036" w:rsidRPr="00803036" w:rsidRDefault="00803036" w:rsidP="00803036">
      <w:pPr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TEXTO VIGENTE</w:t>
      </w:r>
    </w:p>
    <w:p w:rsidR="00BF6259" w:rsidRDefault="00BF6259" w:rsidP="00803036">
      <w:pPr>
        <w:spacing w:after="0"/>
        <w:jc w:val="center"/>
        <w:rPr>
          <w:rFonts w:ascii="Barlow Light" w:hAnsi="Barlow Light"/>
          <w:b/>
        </w:rPr>
      </w:pPr>
    </w:p>
    <w:p w:rsidR="00803036" w:rsidRPr="00803036" w:rsidRDefault="00803036" w:rsidP="00803036">
      <w:pPr>
        <w:spacing w:after="0"/>
        <w:jc w:val="center"/>
        <w:rPr>
          <w:rFonts w:ascii="Barlow Light" w:hAnsi="Barlow Light"/>
          <w:b/>
        </w:rPr>
      </w:pPr>
      <w:bookmarkStart w:id="0" w:name="_GoBack"/>
      <w:bookmarkEnd w:id="0"/>
      <w:r w:rsidRPr="00803036">
        <w:rPr>
          <w:rFonts w:ascii="Barlow Light" w:hAnsi="Barlow Light"/>
          <w:b/>
        </w:rPr>
        <w:t>CAPÍTULO I</w:t>
      </w:r>
    </w:p>
    <w:p w:rsidR="00803036" w:rsidRPr="00803036" w:rsidRDefault="00803036" w:rsidP="00803036">
      <w:pPr>
        <w:jc w:val="center"/>
        <w:rPr>
          <w:rFonts w:ascii="Barlow Light" w:hAnsi="Barlow Light"/>
          <w:b/>
        </w:rPr>
      </w:pPr>
      <w:r w:rsidRPr="00803036">
        <w:rPr>
          <w:rFonts w:ascii="Barlow Light" w:hAnsi="Barlow Light"/>
          <w:b/>
        </w:rPr>
        <w:t>DISPOSICIONES GENERALES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>
        <w:rPr>
          <w:rFonts w:ascii="Barlow Light" w:hAnsi="Barlow Light"/>
          <w:b/>
        </w:rPr>
        <w:t>Artí</w:t>
      </w:r>
      <w:r w:rsidRPr="00803036">
        <w:rPr>
          <w:rFonts w:ascii="Barlow Light" w:hAnsi="Barlow Light"/>
          <w:b/>
        </w:rPr>
        <w:t>culo</w:t>
      </w:r>
      <w:r w:rsidRPr="00803036">
        <w:rPr>
          <w:rFonts w:ascii="Barlow Light" w:hAnsi="Barlow Light"/>
          <w:b/>
        </w:rPr>
        <w:t xml:space="preserve"> 1.-</w:t>
      </w:r>
      <w:r w:rsidRPr="00803036">
        <w:rPr>
          <w:rFonts w:ascii="Barlow Light" w:hAnsi="Barlow Light"/>
        </w:rPr>
        <w:t xml:space="preserve"> El presente Reglamento tiene como objetivo regular el funcionamiento del Consejo Municipal de Protección Civil del Municipio de Mérida, así como norma las acciones, análisis, propuestas, opiniones y recomendaciones que emitan sus integrantes en asuntos relacionados con proponer y evaluar programas, estrategias y acciones en la materia, estableciendo las bases para su organización, funcionamiento, el cumplimiento de sus facultades, fomentar la participación activa de todos sus integrantes.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proofErr w:type="spellStart"/>
      <w:r w:rsidRPr="00803036">
        <w:rPr>
          <w:rFonts w:ascii="Barlow Light" w:hAnsi="Barlow Light"/>
          <w:b/>
        </w:rPr>
        <w:t>Artículo</w:t>
      </w:r>
      <w:proofErr w:type="spellEnd"/>
      <w:r w:rsidRPr="00803036">
        <w:rPr>
          <w:rFonts w:ascii="Barlow Light" w:hAnsi="Barlow Light"/>
          <w:b/>
        </w:rPr>
        <w:t xml:space="preserve"> 2.-</w:t>
      </w:r>
      <w:r w:rsidRPr="00803036">
        <w:rPr>
          <w:rFonts w:ascii="Barlow Light" w:hAnsi="Barlow Light"/>
        </w:rPr>
        <w:t xml:space="preserve"> El Consejo Municipal de Protección Civil es el órgano de consulta y participación social, que coordina la planeación, organización y control del Programa de Protección Civil del Municipio ante la eventualidad de algún siniestro o desastre.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proofErr w:type="spellStart"/>
      <w:r w:rsidRPr="00803036">
        <w:rPr>
          <w:rFonts w:ascii="Barlow Light" w:hAnsi="Barlow Light"/>
          <w:b/>
        </w:rPr>
        <w:t>Artículo</w:t>
      </w:r>
      <w:proofErr w:type="spellEnd"/>
      <w:r w:rsidRPr="00803036">
        <w:rPr>
          <w:rFonts w:ascii="Barlow Light" w:hAnsi="Barlow Light"/>
          <w:b/>
        </w:rPr>
        <w:t xml:space="preserve"> 3.-</w:t>
      </w:r>
      <w:r w:rsidRPr="00803036">
        <w:rPr>
          <w:rFonts w:ascii="Barlow Light" w:hAnsi="Barlow Light"/>
        </w:rPr>
        <w:t xml:space="preserve"> Para los efectos de este Reglamento, se entenderá por "Consejo", al Consejo Municipal de Protección Civil del Municipio de Mérida; y por “Coordinación”, a la Coordinación Municipal de Protección Civil de Mérida. </w:t>
      </w:r>
    </w:p>
    <w:p w:rsidR="00803036" w:rsidRPr="00803036" w:rsidRDefault="00803036" w:rsidP="00803036">
      <w:pPr>
        <w:spacing w:after="0"/>
        <w:jc w:val="center"/>
        <w:rPr>
          <w:rFonts w:ascii="Barlow Light" w:hAnsi="Barlow Light"/>
          <w:b/>
        </w:rPr>
      </w:pPr>
      <w:r w:rsidRPr="00803036">
        <w:rPr>
          <w:rFonts w:ascii="Barlow Light" w:hAnsi="Barlow Light"/>
          <w:b/>
        </w:rPr>
        <w:t>CAPÍTULO II</w:t>
      </w:r>
    </w:p>
    <w:p w:rsidR="00803036" w:rsidRPr="00803036" w:rsidRDefault="00803036" w:rsidP="00803036">
      <w:pPr>
        <w:jc w:val="center"/>
        <w:rPr>
          <w:rFonts w:ascii="Barlow Light" w:hAnsi="Barlow Light"/>
          <w:b/>
        </w:rPr>
      </w:pPr>
      <w:r w:rsidRPr="00803036">
        <w:rPr>
          <w:rFonts w:ascii="Barlow Light" w:hAnsi="Barlow Light"/>
          <w:b/>
        </w:rPr>
        <w:t>DEL CONSEJO MUNICIPAL DE PROTECCION CIVIL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t>Artículo 4.-</w:t>
      </w:r>
      <w:r w:rsidRPr="00803036">
        <w:rPr>
          <w:rFonts w:ascii="Barlow Light" w:hAnsi="Barlow Light"/>
        </w:rPr>
        <w:t xml:space="preserve"> El Consejo deberá seguir los lineamientos y ordenanzas establecidas en este Reglamento, y en lo no previsto, se aplicarán los acuerdos que el Consejo determine para cada caso.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 </w:t>
      </w:r>
      <w:r w:rsidRPr="00803036">
        <w:rPr>
          <w:rFonts w:ascii="Barlow Light" w:hAnsi="Barlow Light"/>
          <w:b/>
        </w:rPr>
        <w:t>Artículo 5.-</w:t>
      </w:r>
      <w:r w:rsidRPr="00803036">
        <w:rPr>
          <w:rFonts w:ascii="Barlow Light" w:hAnsi="Barlow Light"/>
        </w:rPr>
        <w:t xml:space="preserve"> El Consejo podrá, mediante el acuerdo correspondiente, invitar a sus sesiones a otras unidades administrativas, entidades públicas o representantes de la sociedad civil que considere pertinentes para el mejor funcionamiento del mismo; asimismo tendrá la facultad modificar el presente Reglamento Interno.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 </w:t>
      </w:r>
      <w:r w:rsidRPr="00803036">
        <w:rPr>
          <w:rFonts w:ascii="Barlow Light" w:hAnsi="Barlow Light"/>
          <w:b/>
        </w:rPr>
        <w:t>Artículo 6.-</w:t>
      </w:r>
      <w:r w:rsidRPr="00803036">
        <w:rPr>
          <w:rFonts w:ascii="Barlow Light" w:hAnsi="Barlow Light"/>
        </w:rPr>
        <w:t xml:space="preserve"> Los integrantes del Consejo, establecidos en el acuerdo de creación del mismo, tendrán voz y voto en cada una de las sesiones que se celebren.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 </w:t>
      </w:r>
      <w:r w:rsidRPr="00803036">
        <w:rPr>
          <w:rFonts w:ascii="Barlow Light" w:hAnsi="Barlow Light"/>
          <w:b/>
        </w:rPr>
        <w:t>Artículo 7.-</w:t>
      </w:r>
      <w:r w:rsidRPr="00803036">
        <w:rPr>
          <w:rFonts w:ascii="Barlow Light" w:hAnsi="Barlow Light"/>
        </w:rPr>
        <w:t xml:space="preserve"> Son facultades y obligaciones de los Integrantes: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 </w:t>
      </w:r>
    </w:p>
    <w:p w:rsidR="00803036" w:rsidRPr="00803036" w:rsidRDefault="00803036" w:rsidP="00803036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Asistir puntualmente a las sesiones ordinarias y extraordinarias, o en caso, nombrar un representante; </w:t>
      </w:r>
    </w:p>
    <w:p w:rsidR="00803036" w:rsidRDefault="00803036" w:rsidP="00803036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lastRenderedPageBreak/>
        <w:t xml:space="preserve">Reportarse y presentarse al Centro de Operaciones sin necesidad de ser llamados cuando presenten estados de prealerta, alerta y de emergencia o alarma. </w:t>
      </w:r>
    </w:p>
    <w:p w:rsidR="00803036" w:rsidRDefault="00803036" w:rsidP="00803036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Cumplir con los acuerdos y compromisos que se adopten dentro del seno del Consejo. </w:t>
      </w:r>
    </w:p>
    <w:p w:rsidR="00803036" w:rsidRDefault="00803036" w:rsidP="00803036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Firmar las Actas que con motivo de las sesiones sean emitidas; </w:t>
      </w:r>
    </w:p>
    <w:p w:rsidR="00803036" w:rsidRDefault="00803036" w:rsidP="00805592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>Opinar y proponer acciones y proyectos en cumplimiento del objeto del Consejo.</w:t>
      </w:r>
    </w:p>
    <w:p w:rsidR="00803036" w:rsidRPr="00803036" w:rsidRDefault="00803036" w:rsidP="00805592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Y las demás que señale el Consejo y demás disposiciones legales. 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t>Artículo 8.-</w:t>
      </w:r>
      <w:r w:rsidRPr="00803036">
        <w:rPr>
          <w:rFonts w:ascii="Barlow Light" w:hAnsi="Barlow Light"/>
        </w:rPr>
        <w:t xml:space="preserve"> Serán causa de baja como integrante del consejo consultivo o de colaboración municipal, cualquiera de las siguientes:  </w:t>
      </w:r>
    </w:p>
    <w:p w:rsidR="00803036" w:rsidRPr="00803036" w:rsidRDefault="00803036" w:rsidP="00803036">
      <w:pPr>
        <w:pStyle w:val="Prrafodelista"/>
        <w:numPr>
          <w:ilvl w:val="0"/>
          <w:numId w:val="2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Conclusión de las actividades del consejo;  </w:t>
      </w:r>
    </w:p>
    <w:p w:rsidR="00803036" w:rsidRDefault="00803036" w:rsidP="00803036">
      <w:pPr>
        <w:pStyle w:val="Prrafodelista"/>
        <w:numPr>
          <w:ilvl w:val="0"/>
          <w:numId w:val="2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Renuncia expresa del integrante;  </w:t>
      </w:r>
    </w:p>
    <w:p w:rsidR="00803036" w:rsidRDefault="00803036" w:rsidP="00803036">
      <w:pPr>
        <w:pStyle w:val="Prrafodelista"/>
        <w:numPr>
          <w:ilvl w:val="0"/>
          <w:numId w:val="2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Tres inasistencias no justificadas;  </w:t>
      </w:r>
    </w:p>
    <w:p w:rsidR="00803036" w:rsidRDefault="00803036" w:rsidP="00803036">
      <w:pPr>
        <w:pStyle w:val="Prrafodelista"/>
        <w:numPr>
          <w:ilvl w:val="0"/>
          <w:numId w:val="2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Incumplimiento de las tareas encomendadas;  </w:t>
      </w:r>
    </w:p>
    <w:p w:rsidR="00803036" w:rsidRDefault="00803036" w:rsidP="00803036">
      <w:pPr>
        <w:pStyle w:val="Prrafodelista"/>
        <w:numPr>
          <w:ilvl w:val="0"/>
          <w:numId w:val="2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Presentar conflictos de interés, y </w:t>
      </w:r>
    </w:p>
    <w:p w:rsidR="00803036" w:rsidRPr="00803036" w:rsidRDefault="00803036" w:rsidP="00803036">
      <w:pPr>
        <w:pStyle w:val="Prrafodelista"/>
        <w:numPr>
          <w:ilvl w:val="0"/>
          <w:numId w:val="2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Las consideradas como graves por el consejo consultivo. 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t>Artículo 9.-</w:t>
      </w:r>
      <w:r w:rsidRPr="00803036">
        <w:rPr>
          <w:rFonts w:ascii="Barlow Light" w:hAnsi="Barlow Light"/>
        </w:rPr>
        <w:t xml:space="preserve"> Los integrantes con el carácter de consejeros, podrán designar a personal adicional para participar en razón de tareas determinadas, quienes deberán ser aprobados por el Consejo y solo tendrán voz, pero no voto. </w:t>
      </w:r>
    </w:p>
    <w:p w:rsidR="00803036" w:rsidRPr="00803036" w:rsidRDefault="00803036" w:rsidP="00803036">
      <w:pPr>
        <w:spacing w:after="0"/>
        <w:jc w:val="center"/>
        <w:rPr>
          <w:rFonts w:ascii="Barlow Light" w:hAnsi="Barlow Light"/>
          <w:b/>
        </w:rPr>
      </w:pPr>
      <w:r w:rsidRPr="00803036">
        <w:rPr>
          <w:rFonts w:ascii="Barlow Light" w:hAnsi="Barlow Light"/>
          <w:b/>
        </w:rPr>
        <w:t>CAPÍTULO III</w:t>
      </w:r>
    </w:p>
    <w:p w:rsidR="00803036" w:rsidRPr="00803036" w:rsidRDefault="00803036" w:rsidP="00803036">
      <w:pPr>
        <w:jc w:val="center"/>
        <w:rPr>
          <w:rFonts w:ascii="Barlow Light" w:hAnsi="Barlow Light"/>
          <w:b/>
        </w:rPr>
      </w:pPr>
      <w:r w:rsidRPr="00803036">
        <w:rPr>
          <w:rFonts w:ascii="Barlow Light" w:hAnsi="Barlow Light"/>
          <w:b/>
        </w:rPr>
        <w:t>DE LAS SESIONES DEL CONSEJO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t xml:space="preserve"> Artículo 10.-</w:t>
      </w:r>
      <w:r w:rsidRPr="00803036">
        <w:rPr>
          <w:rFonts w:ascii="Barlow Light" w:hAnsi="Barlow Light"/>
        </w:rPr>
        <w:t xml:space="preserve"> El Consejo tendrá por lo menos dos sesiones al año, que tendrán el carácter de ordinarias, que deriven del cumplimiento de la agenda de trabajo; asimismo, podrán sesionar de manera extraordinaria las veces que consideren necesarias cuando se suscite algún asunto urgente y/o lo solicitare la mayoría de los integrantes, las cuales deberán ser convocadas de manera inmediata y podrán llevarse a cabo sin requerir la formalidad de una sesión, en el horario, lugar y fecha que determinen los consejeros, para el cumplimiento de tareas y proyectos. 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 </w:t>
      </w:r>
      <w:r w:rsidRPr="00803036">
        <w:rPr>
          <w:rFonts w:ascii="Barlow Light" w:hAnsi="Barlow Light"/>
          <w:b/>
        </w:rPr>
        <w:t>Artículo 11.-</w:t>
      </w:r>
      <w:r w:rsidRPr="00803036">
        <w:rPr>
          <w:rFonts w:ascii="Barlow Light" w:hAnsi="Barlow Light"/>
        </w:rPr>
        <w:t xml:space="preserve"> En las primeras sesiones del Consejo se deberá elaborar un Programa de trabajo y calendario de sesiones definiendo las acciones a implementar a corto, mediano y largo plazo. Programa que deberá ser evaluado periódicamente entregando informes de resultados en los meses de mayo y noviembre de cada año del funcionamiento del Consejo. 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t>Artículo 12.-</w:t>
      </w:r>
      <w:r w:rsidRPr="00803036">
        <w:rPr>
          <w:rFonts w:ascii="Barlow Light" w:hAnsi="Barlow Light"/>
        </w:rPr>
        <w:t xml:space="preserve"> El Secretario Ejecutivo deberá entregar el Programa de trabajo, Calendario de Sesiones programadas e informe de avances a la Secretaría de Participación Ciudadana para su conocimiento. 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lastRenderedPageBreak/>
        <w:t>Artículo 13.-</w:t>
      </w:r>
      <w:r w:rsidRPr="00803036">
        <w:rPr>
          <w:rFonts w:ascii="Barlow Light" w:hAnsi="Barlow Light"/>
        </w:rPr>
        <w:t xml:space="preserve"> En las sesiones del Consejo habrá quórum cuando concurran la mitad más uno de sus miembros siempre que asista su Presidente o en su ausencia el Coordinador General. Las decisiones del Consejo se tomarán por mayoría simple de votos de los asistentes, teniendo el Presidente voto de calidad en caso de empate.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  <w:b/>
        </w:rPr>
        <w:t>Artículo 14.-</w:t>
      </w:r>
      <w:r w:rsidRPr="00803036">
        <w:rPr>
          <w:rFonts w:ascii="Barlow Light" w:hAnsi="Barlow Light"/>
        </w:rPr>
        <w:t xml:space="preserve"> El Consejo llevará a cabo su labor conforme a las formalidades siguientes: </w:t>
      </w:r>
    </w:p>
    <w:p w:rsidR="00803036" w:rsidRPr="00803036" w:rsidRDefault="00803036" w:rsidP="00803036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Las sesiones son de carácter público; </w:t>
      </w:r>
    </w:p>
    <w:p w:rsidR="00803036" w:rsidRDefault="00803036" w:rsidP="00803036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La convocatoria será enviada por el Secretario Ejecutivo en forma oportuna, señalando fecha, lugar y orden del día de la reunión, con la documentación adjunta, en su caso, con anticipación mínima de cinco días naturales para las sesiones ordinarias; </w:t>
      </w:r>
    </w:p>
    <w:p w:rsidR="00803036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Las sesiones tendrán un tiempo máximo para su inicio de quince minutos de tolerancia; </w:t>
      </w:r>
    </w:p>
    <w:p w:rsidR="00803036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El Secretario Técnico estará encargado de moderar las sesiones y concederá el uso de la palabra a quienes la soliciten en el orden requerido, determinando cuando un asunto se deberá dar por concluido y proceder a la votación. </w:t>
      </w:r>
    </w:p>
    <w:p w:rsidR="00A61ABE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Se manejarán tiempos para la participación de todos los integrantes, con el fin de llevar un control en la sesión y el horario, se permitirá participar con derecho a réplica, siempre que tenga relación con el tema, de cinco minutos máximo de duración.  </w:t>
      </w:r>
    </w:p>
    <w:p w:rsidR="00A61ABE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Las discusiones deberán centrarse en propuestas concretas y tener el carácter propositivo. </w:t>
      </w:r>
    </w:p>
    <w:p w:rsidR="00A61ABE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Cuando un miembro del Consejo se abstenga de votar, se dejará constancia de ello en el acta que al efecto se levante. </w:t>
      </w:r>
    </w:p>
    <w:p w:rsidR="00A61ABE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El Secretario Ejecutivo del Consejo realizará el cómputo de los votos y declarará el resultado de la votación. </w:t>
      </w:r>
    </w:p>
    <w:p w:rsidR="00A61ABE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De cada sesión se levantará un acta en la que hará constar la relación de los asuntos tratados y acuerdos tomados de manera breve, concisa y precisa., misma que deberá ser sometida a aprobación; posteriormente firmada por todos los asistentes, teniendo como anexo la lista de asistencia, el orden del día y registro fotográfico, y  </w:t>
      </w:r>
    </w:p>
    <w:p w:rsidR="00803036" w:rsidRPr="00803036" w:rsidRDefault="00803036" w:rsidP="006E5F1E">
      <w:pPr>
        <w:pStyle w:val="Prrafodelista"/>
        <w:numPr>
          <w:ilvl w:val="0"/>
          <w:numId w:val="3"/>
        </w:num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El Secretario Ejecutivo llevará el seguimiento de los acuerdos e informará a los integrantes del Consejo.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A61ABE">
        <w:rPr>
          <w:rFonts w:ascii="Barlow Light" w:hAnsi="Barlow Light"/>
          <w:b/>
        </w:rPr>
        <w:t>Artículo 15.-</w:t>
      </w:r>
      <w:r w:rsidRPr="00803036">
        <w:rPr>
          <w:rFonts w:ascii="Barlow Light" w:hAnsi="Barlow Light"/>
        </w:rPr>
        <w:t xml:space="preserve"> Se permite el uso de los medios de comunicación digital, para emitir las convocatorias, confirmaciones e incluso intercambio de información entre los integrantes del Consejo.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A61ABE">
        <w:rPr>
          <w:rFonts w:ascii="Barlow Light" w:hAnsi="Barlow Light"/>
          <w:b/>
        </w:rPr>
        <w:t>Artículo 16.-</w:t>
      </w:r>
      <w:r w:rsidRPr="00803036">
        <w:rPr>
          <w:rFonts w:ascii="Barlow Light" w:hAnsi="Barlow Light"/>
        </w:rPr>
        <w:t xml:space="preserve"> Las actas de las sesiones del Consejo serán publicadas en la página oficial de internet del Ayuntamiento de Mérida.</w:t>
      </w:r>
    </w:p>
    <w:p w:rsidR="00803036" w:rsidRPr="00A61ABE" w:rsidRDefault="00803036" w:rsidP="00A61ABE">
      <w:pPr>
        <w:jc w:val="center"/>
        <w:rPr>
          <w:rFonts w:ascii="Barlow Light" w:hAnsi="Barlow Light"/>
          <w:b/>
        </w:rPr>
      </w:pPr>
      <w:r w:rsidRPr="00A61ABE">
        <w:rPr>
          <w:rFonts w:ascii="Barlow Light" w:hAnsi="Barlow Light"/>
          <w:b/>
        </w:rPr>
        <w:lastRenderedPageBreak/>
        <w:t>TRANSITORIOS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A61ABE">
        <w:rPr>
          <w:rFonts w:ascii="Barlow Light" w:hAnsi="Barlow Light"/>
          <w:b/>
        </w:rPr>
        <w:t xml:space="preserve"> ARTÍCULO </w:t>
      </w:r>
      <w:r w:rsidR="00A61ABE" w:rsidRPr="00A61ABE">
        <w:rPr>
          <w:rFonts w:ascii="Barlow Light" w:hAnsi="Barlow Light"/>
          <w:b/>
        </w:rPr>
        <w:t>PRIMERO. -</w:t>
      </w:r>
      <w:r w:rsidRPr="00803036">
        <w:rPr>
          <w:rFonts w:ascii="Barlow Light" w:hAnsi="Barlow Light"/>
        </w:rPr>
        <w:t xml:space="preserve"> El presente acuerdo será aplicable para el desempeño de la labor del Consejo, y entrará en vigor a partir de la fecha de su aprobación por parte del Consejo.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  <w:r w:rsidRPr="00803036">
        <w:rPr>
          <w:rFonts w:ascii="Barlow Light" w:hAnsi="Barlow Light"/>
        </w:rPr>
        <w:t xml:space="preserve"> </w:t>
      </w:r>
      <w:r w:rsidRPr="00A61ABE">
        <w:rPr>
          <w:rFonts w:ascii="Barlow Light" w:hAnsi="Barlow Light"/>
          <w:b/>
        </w:rPr>
        <w:t xml:space="preserve">ARTÍCULO </w:t>
      </w:r>
      <w:r w:rsidR="00A61ABE" w:rsidRPr="00A61ABE">
        <w:rPr>
          <w:rFonts w:ascii="Barlow Light" w:hAnsi="Barlow Light"/>
          <w:b/>
        </w:rPr>
        <w:t>SEGUNDO. -</w:t>
      </w:r>
      <w:r w:rsidRPr="00803036">
        <w:rPr>
          <w:rFonts w:ascii="Barlow Light" w:hAnsi="Barlow Light"/>
        </w:rPr>
        <w:t xml:space="preserve"> Este Reglamento tendrá vigencia durante el período de la Administración Pública Municipal 2018-2021. </w:t>
      </w:r>
    </w:p>
    <w:p w:rsidR="00803036" w:rsidRPr="00803036" w:rsidRDefault="00803036" w:rsidP="00803036">
      <w:pPr>
        <w:jc w:val="both"/>
        <w:rPr>
          <w:rFonts w:ascii="Barlow Light" w:hAnsi="Barlow Light"/>
        </w:rPr>
      </w:pPr>
    </w:p>
    <w:sectPr w:rsidR="00803036" w:rsidRPr="00803036" w:rsidSect="004F57DE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FB" w:rsidRDefault="00085BFB" w:rsidP="004F57DE">
      <w:pPr>
        <w:spacing w:after="0" w:line="240" w:lineRule="auto"/>
      </w:pPr>
      <w:r>
        <w:separator/>
      </w:r>
    </w:p>
  </w:endnote>
  <w:endnote w:type="continuationSeparator" w:id="0">
    <w:p w:rsidR="00085BFB" w:rsidRDefault="00085BFB" w:rsidP="004F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426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57DE" w:rsidRDefault="004F57DE" w:rsidP="004F57DE">
            <w:pPr>
              <w:pStyle w:val="Piedepgina"/>
              <w:jc w:val="center"/>
            </w:pPr>
            <w:r>
              <w:t>_______________________</w:t>
            </w:r>
            <w:r w:rsidR="00117B12">
              <w:t>________________________________</w:t>
            </w:r>
            <w:r>
              <w:t>_________________________</w:t>
            </w:r>
          </w:p>
          <w:p w:rsidR="00A61ABE" w:rsidRDefault="00A61ABE" w:rsidP="00A61ABE">
            <w:pPr>
              <w:pStyle w:val="Piedepgina"/>
              <w:jc w:val="right"/>
              <w:rPr>
                <w:rFonts w:ascii="Barlow Light" w:hAnsi="Barlow Light"/>
                <w:b/>
                <w:spacing w:val="10"/>
                <w:position w:val="2"/>
                <w:sz w:val="16"/>
              </w:rPr>
            </w:pPr>
            <w:r w:rsidRPr="00A61ABE">
              <w:rPr>
                <w:rFonts w:ascii="Barlow Light" w:hAnsi="Barlow Light"/>
                <w:b/>
                <w:spacing w:val="10"/>
                <w:position w:val="2"/>
                <w:sz w:val="16"/>
              </w:rPr>
              <w:t>REGLAMENTO INTERNO DEL CONSEJO MUNICIPAL DE PROTECCIÓN CIVIL</w:t>
            </w:r>
          </w:p>
          <w:p w:rsidR="00A61ABE" w:rsidRDefault="00A61ABE" w:rsidP="00A61ABE">
            <w:pPr>
              <w:pStyle w:val="Piedepgina"/>
              <w:jc w:val="right"/>
              <w:rPr>
                <w:rFonts w:ascii="Barlow Light" w:hAnsi="Barlow Light"/>
                <w:b/>
                <w:spacing w:val="10"/>
                <w:position w:val="2"/>
                <w:sz w:val="16"/>
              </w:rPr>
            </w:pPr>
          </w:p>
          <w:p w:rsidR="004F57DE" w:rsidRDefault="004F57DE">
            <w:pPr>
              <w:pStyle w:val="Piedepgina"/>
              <w:jc w:val="center"/>
            </w:pP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A408E1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4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A408E1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4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FB" w:rsidRDefault="00085BFB" w:rsidP="004F57DE">
      <w:pPr>
        <w:spacing w:after="0" w:line="240" w:lineRule="auto"/>
      </w:pPr>
      <w:r>
        <w:separator/>
      </w:r>
    </w:p>
  </w:footnote>
  <w:footnote w:type="continuationSeparator" w:id="0">
    <w:p w:rsidR="00085BFB" w:rsidRDefault="00085BFB" w:rsidP="004F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DE" w:rsidRDefault="004F57DE" w:rsidP="004F57D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A63E08" wp14:editId="42A6A5C7">
          <wp:extent cx="720000" cy="720000"/>
          <wp:effectExtent l="0" t="0" r="0" b="444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7DE" w:rsidRDefault="004F57DE" w:rsidP="004F57DE">
    <w:pPr>
      <w:pStyle w:val="Encabezado"/>
      <w:jc w:val="center"/>
    </w:pPr>
  </w:p>
  <w:p w:rsidR="004F57DE" w:rsidRDefault="004F57DE" w:rsidP="004F57DE">
    <w:pPr>
      <w:pStyle w:val="Encabezado"/>
      <w:pBdr>
        <w:bottom w:val="single" w:sz="4" w:space="1" w:color="auto"/>
      </w:pBdr>
      <w:spacing w:line="360" w:lineRule="auto"/>
      <w:jc w:val="center"/>
      <w:rPr>
        <w:rFonts w:ascii="Barlow Light" w:hAnsi="Barlow Light"/>
        <w:sz w:val="18"/>
      </w:rPr>
    </w:pPr>
    <w:r w:rsidRPr="00500DA1">
      <w:rPr>
        <w:rFonts w:ascii="Barlow Light" w:hAnsi="Barlow Light"/>
        <w:sz w:val="18"/>
      </w:rPr>
      <w:t>H. AYUNTAMIENTO DE MÉRIDA</w:t>
    </w:r>
  </w:p>
  <w:p w:rsidR="004F57DE" w:rsidRDefault="004F5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86"/>
    <w:multiLevelType w:val="hybridMultilevel"/>
    <w:tmpl w:val="76B0AFA4"/>
    <w:lvl w:ilvl="0" w:tplc="88BE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6C6"/>
    <w:multiLevelType w:val="hybridMultilevel"/>
    <w:tmpl w:val="5E462A42"/>
    <w:lvl w:ilvl="0" w:tplc="97A4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64FC"/>
    <w:multiLevelType w:val="hybridMultilevel"/>
    <w:tmpl w:val="18ACD8B0"/>
    <w:lvl w:ilvl="0" w:tplc="76A4E7C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E"/>
    <w:rsid w:val="00085BFB"/>
    <w:rsid w:val="00117B12"/>
    <w:rsid w:val="003529B7"/>
    <w:rsid w:val="004F57DE"/>
    <w:rsid w:val="005633D9"/>
    <w:rsid w:val="006A6088"/>
    <w:rsid w:val="00803036"/>
    <w:rsid w:val="008E6C4E"/>
    <w:rsid w:val="00A408E1"/>
    <w:rsid w:val="00A61ABE"/>
    <w:rsid w:val="00AA4F02"/>
    <w:rsid w:val="00BF6259"/>
    <w:rsid w:val="00EE3BFD"/>
    <w:rsid w:val="00FA74C3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C0D94"/>
  <w15:chartTrackingRefBased/>
  <w15:docId w15:val="{3674537E-3416-4B95-92D4-609FAC5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4F57DE"/>
    <w:pPr>
      <w:widowControl w:val="0"/>
      <w:autoSpaceDE w:val="0"/>
      <w:autoSpaceDN w:val="0"/>
      <w:spacing w:before="43" w:after="0" w:line="240" w:lineRule="auto"/>
      <w:jc w:val="center"/>
      <w:outlineLvl w:val="5"/>
    </w:pPr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1"/>
    <w:rsid w:val="004F57DE"/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F5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57DE"/>
    <w:rPr>
      <w:rFonts w:ascii="Arial" w:eastAsia="Arial" w:hAnsi="Arial" w:cs="Arial"/>
      <w:sz w:val="17"/>
      <w:szCs w:val="17"/>
      <w:lang w:val="es-ES" w:eastAsia="es-ES" w:bidi="es-ES"/>
    </w:rPr>
  </w:style>
  <w:style w:type="paragraph" w:styleId="Encabezado">
    <w:name w:val="header"/>
    <w:aliases w:val="Header Char Car"/>
    <w:basedOn w:val="Normal"/>
    <w:link w:val="Encabezado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Char Car Car"/>
    <w:basedOn w:val="Fuentedeprrafopredeter"/>
    <w:link w:val="Encabezado"/>
    <w:uiPriority w:val="99"/>
    <w:rsid w:val="004F57DE"/>
  </w:style>
  <w:style w:type="paragraph" w:styleId="Piedepgina">
    <w:name w:val="footer"/>
    <w:basedOn w:val="Normal"/>
    <w:link w:val="Piedepgina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7DE"/>
  </w:style>
  <w:style w:type="paragraph" w:styleId="Prrafodelista">
    <w:name w:val="List Paragraph"/>
    <w:basedOn w:val="Normal"/>
    <w:uiPriority w:val="34"/>
    <w:qFormat/>
    <w:rsid w:val="0080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12</cp:revision>
  <cp:lastPrinted>2020-05-20T21:20:00Z</cp:lastPrinted>
  <dcterms:created xsi:type="dcterms:W3CDTF">2020-04-13T20:06:00Z</dcterms:created>
  <dcterms:modified xsi:type="dcterms:W3CDTF">2020-05-20T21:20:00Z</dcterms:modified>
</cp:coreProperties>
</file>